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28.07.2021, оставленным без изменения постановлением Четвертого арбитражного апелляционного суда от 10.11.2021 и постановлением Арбитражного суда Восточно-Сибирского округа от 24.02.2022, с предпринимателя в пользу общества взыскано 239 881 руб. 50 коп. основного долга, 50 822 руб. 89 коп. неустойки, 87 руб. почтовых расходов, пени, начисляемые с 14.07.2020 на сумму задолженности, исходя из ставки в размере 0,1% от просроченной 2 суммы арендной платы за каждый день просрочки, по день фактического исполнения решения суда.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Удовлетворяя исковые требования, суды первой и апелляционной инстанций, с выводами которых согласился суд округа, руководствуясь статьями 309, 310, 330, 432, 606, 614, 650, 651 Гражданского кодекса Российской Федерации,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исходили из подтвержденности факта неисполнения предпринимателем обязательств по внесению арендной платы по спорному договору в заявленный период.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Манукяна Мхитара Оганесовича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