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10.09.2021, оставленным без изменения постановлением Девятого арбитражного апелляционного суда от 22.11.2021 и постановлением Арбитражного суда Московского округа от 22.03.2022,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2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установив факт поставки компанией (поставщик) фабрике (покупатель) товара ненадлежащего качества с существенными недостатками, отсутствие доказательств возврата поставщиком спорных денежных средств, руководствуясь статьями 309, 310, 330, 331, 475, 503, 518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«ПРЕДО»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