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28.09.2021, оставленным без изменения постановлением Пятнадцатого арбитражного апелляционного суда от 23.11.2021 и постановлением Арбитражного суда Северо-Кавказского округа от 02.03.2022, с общества в пользу компании взыскано 12 852 899 руб. 06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сроков выполнения работ, учитывая согласованное сторонами договора условие об ответственности за указанное нарушение, проверив расчет неустойки и скорректировав период ее начисления, отметив, что ходатайство о снижении размера неустойки в предусмотренном порядке обществом не заявлено, руководствуясь статьями 309, 310, 329, 330, 702, 708, 711 Гражданского кодекса Российской Федерации, суды первой и апелляционной инстанции частично удовлетворили исковые требования. С чем впоследствии согласился суд округа. Доводы кассационной жалобы были предметом рассмотрения судов и получили правовую оценку, не опровергают приведенные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фирма «Монрем»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