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29.09.2021, оставленным без изменения постановлением Девятого арбитражного апелляционного суда от 17.11.2021 и постановлением Арбитражного суда Московского округа от 10.03.2022, в удовлетворении первоначального иска отказано, встречный иск удовлетворен частично, с общества в пользу предпринимателя взыскано 51 000 руб. долга, в удовлетворении остальной части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предъявленные взаимные требования общества и предпринимателя основаны на договоре от 26.08.2020 № К-2006-1 на выполнение работ по маркетинговому сопровождению (далее – договор), от исполнения которого общество отказалось в одностороннем порядке.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выполнения предпринимателем работ на сумму 126 000 руб. и передачи их результата обществу, которое не представило доказательств направления возражений по работам, указанным в акте, суды первой и апелляционной инстанций пришли к выводу о наличии у общества задолженности и отсутствии у предпринимателя обязанности по возврату аванса. При таких обстоятельствах, констатировав, что договор расторгнут путем одностороннего отказа общества от его исполнения, руководствуясь статьями 309, 310, 434, 450.1, 720, 779, 781 Гражданского кодекса Российской Федерации, суды не усмотрели оснований для удовлетворения первоначального иска и признали обоснованными встречные требования в части взыскания задолженности.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«Тендер Дон»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