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«Автогарант» обратилось в Арбитражный суд Красноярского края с иском к обществу с ограниченной ответственностью «РусДилерТранс» о признании произведенного обществом «РусДилерТранс» в одностороннем порядке зачета недействительным, взыскании 671 553 рублей 85 копеек задолженности по договору-заявке № 1 от 26.08.2019 и по договору-заявке № 3 от 30.08.2019 и 33 579 рублей 53 копеек процентов, предусмотренных статьей 395 Гражданского кодекса Российской Федерации.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«Сумитек Интернейшнл», общество с ограниченной ответственностью «Геосинтетика». Судом принят встречный иск ООО «РусДилерТранс» к ООО «Автогарант» о взыскании 492 877 рублей 38 копеек в качестве затрат по ремонту, демонтажу/монтажу и стоимости новых запчастей, 55 445 рублей в 2 качестве расходов, связанных с доставкой запасных частей, а также 17 100 рублей провозной платы за перевозку поврежденного груза. Решением Арбитражного суда Красноярского края от 28.07.2021 первоначальный иск удовлетворен в части взыскания 400 000 рублей долга, 19 756 рублей 52 копеек процентов за пользование чужими денежными средствами, в удовлетворении первоначального иска в остальной части отказано; в удовлетворении встречного иска отказано. Постановлением Третьего арбитражного апелляционного суда от 06.12.2021 решение суда первой инстанции оставлено без изменения. Арбитражный суд Восточно-Сибирского округа постановлением от 09.03.2022 указанные судебные акты оставил без изменения. Общество с ограниченной ответственностью «Автогарант»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суды,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руководствовались положениями статей 15, 393, 784, 785, 792, 796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правовыми позициями,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доказанности факта повреждения груза в зоне ответственности перевозчика, избравшего ненадлежащий способ крепления, и отсутствия 3 доказательств того, что повреждение груза произошло вследствие обстоятельств, которые перевозчик не мог предотвратить и устранение которых от него не зависело. Доводы, изложенные в кассационной жалобе, приводились при рассмотрении дела, были рассмотрены судами и им дана надлежащая оценка. Эти доводы,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