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03.08.2021 в удовлетворении первоначального и встречного исков отказано. Постановлением Девятого арбитражного апелляционного суда от 16.11.2021 решение суда первой инстанции отменено в части отказа в удовлетворении первоначального иска, первоначальный иск удовлетворен, в остальной части решение суда оставлено без изменения. Постановлением Арбитражного суда Московского округа от 17.03.2022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компания просит отменить указанные судебные акты как незаконные.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спорного договора, установив, что общество (проектировщик) перечислило в пользу компании (субпроектировщик) аванс по договору; договор расторгнут обществом в одностороннем порядке; по результатам проверки работ, сданных к приемке компанией после расторжения договора, обществом заявлен мотивированный отказ от приемки работ на сумму 10 041 307 руб. 78 коп. ввиду их некачественности, факт выполнения компанией работ, стоимость которых предъявлена ею к взысканию, не подтвержден, руководствуясь статьями 421, 431, 450, 453, 1102 Гражданского кодекса Российской Федерации, суд апелляционной инстанции пришел к выводу о наличии оснований для удовлетворения первоначального иска и отказа в удовлетворении встречных требований. Суд округа поддержал выводы суда апелляционной инстанции.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«Интерстрой»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