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09.11.2021, оставленным без изменения постановлением Десятого арбитражного апелляционного суда от 13.01.2022 и постановлением Арбитражного суда Московского округа от 27.04.2022, в удовлетворении первоначального иска отказано, встречный иск удовлетворен. 2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договора, принимая во внимание обстоятельства, установленные при рассмотрении дела № А41-53785/2018, исходя из того, что односторонние акты о приемке выполненных работ не являются надлежащим доказательством выполнения обществом работ по договору и сдачи их управлению; у общества отсутствовали основания для одностороннего отказа от исполнения договора, поскольку условия, предусмотренные в разделе 14 договора, не наступили, руководствуясь статьями 153 - 156, 166, 167, 309, 310, 407, 431 450, 716, 719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первой и апелляционной инстанций пришли к выводу о необоснованности первоначального иска и правомерности встречных требований.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«Строительно-транспортная компания Альянс»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