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Поверенного Андрея Георгиевича в Арбитражный суд Московской области обратился должник с заявлением об исключении из конкурсной массы следующих объектов недвижимости: жилого дома с земельным участком под ним; жилого помещения (общая долевая собственность, доля в праве 1/6); квартиры. Определением Арбитражного суда Московской области от 18.06.2021 заявление удовлетворено частично, из конкурсной массы должника исключены жилой дом и земельный участок; в удовлетворении заявления в остальной части отказано. Постановлением Десятого арбитражного апелляционного суда от 17.11.2021 определение суда первой инстанции остановлено без изменения. Арбитражный суд Московского округа постановлением от 11.03.2022 указанные судебные акты оставил без изменения. ББР Банк (акционерное общество) и акционерный коммерческий банк «Славия» (акционерное общество) обратились в Судебную коллегию 2 Верховного Суда Российской Федерации с кассационными жалобами на принятые судебные акты в части исключения жилого дома и земельного участка под ним из конкурсной массы должника, ссылаясь на существенные нарушения норм права. Письмом судьи Верховного Суда Российской Федерации от 28.04.2022 материалы обособленного спора истребованы из Арбитражного суда Московской области для проверки доводов кассационных жалоб.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с материалами истребованного дела, не установлено. Разрешая спор, суды руководствовались положениями статей 213.1,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правовой позицией Конституционного Суда Российской Федерации, изложенной в постановлении от 26.01.2021 № 15-П, и исходили из конкретных фактических обстоятельств спора, установив, что жилой дом соответствует критериям единственного пригодного для проживания должника и членов его семьи жилья, признаков злоупотребления правом и недобросовестного поведения должника не имеется, заявителями (кредиторами) не совершено каких-либо действий по рассмотрению вопроса о предоставлении должнику-гражданину замещающего жилья. Доводы жалоб,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3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ББР Банк (акционерное общество) и акционерному коммерческому банку «Славия» (акционерное общество)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