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05.07.2021, оставленным без изменения постановлением Седьмого арбитражного апелляционного суда от 08.10.2021 и постановлением Арбитражного суда Западно-Сибирского округа от 10.03.2022,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при рассмотрении дела № А45-4098/2020, констатировав факт передачи компанией (подрядчик) обществу (заказчик) результата работ на сумму аванса, полученного ею в рамках спорного договора, руководствуясь статьями 8, 309, 310, 758, 762, 1102 Гражданского кодекса Российской Федерации, суды первой и апелляционной инстанций пришли к выводу об отсутствии на стороне ответчика неосновательного обогащения, в связи с чем отказали в удовлетворении иска.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«Вис Север»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