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6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ФИО1 в Арбитражный суд Московской области обратился должник с заявлением об исключении из конкурсной массы следующих объектов недвижимости: жилого дома с земельным участком под ним; жилого помещения (общая долевая собственность, доля в праве 1/6); квартиры. Определением Арбитражного суда Московской области от 18.06.2021 заявление удовлетворено частично, из конкурсной массы должника исключены жилой дом и земельный участок; в удовлетворении заявления в остальной части отказано. Постановлением Десятого арбитражного апелляционного суда от 17.11.2021 определение суда первой инстанции остановлено без изменения. Арбитражный суд Московского округа постановлением от 11.03.2022 указанные судебные акты оставил без изменения. ББР Банк (акционерное общество) и акционерный коммерческий банк «Славия» (акционерное общество) обратились в Судебную коллегию Верховного Суда Российской Федерации с кассационными жалобами на принятые судебные акты в части исключения жилого дома и земельного участка под ним из конкурсной массы должника, ссылаясь на существенные нарушения норм права. Письмом судьи Верховного Суда Российской Федерации от 28.04.2022 материалы обособленного спора истребованы из Арбитражного суда Московской области для проверки доводов кассационных жалоб.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 изученным с материалами истребованного дела, не установлено. Разрешая спор, суды руководствовались положениями статей 213.1 , 213.25 Федерального закона от 26.10.2002 № 127-ФЗ «О несостоятельности (банкротстве)», статьей 446 Гражданского процессуального кодекса Российской Федерации, разъяснениями, изложенными в постановлении Пленума Верховного Суда Российской Федерации от 25.12.2018 № 48 «О некоторых вопросах, связанных с особенностями формирования и распределения конкурсной массы в делах о банкротстве граждан», правовой позицией Конституционного Суда Российской Федерации, изложенной в постановлении от 26.01.2021 № 15-П, и исходили из конкретных фактических обстоятельств спора, установив, что жилой дом соответствует критериям единственного пригодного для проживания должника и членов его семьи жилья, признаков злоупотребления правом и недобросовестного поведения должника не имеется, заявителями (кредиторами) не совершено каких-либо действий по рассмотрению вопроса о предоставлении должнику-гражданину замещающего жилья. Доводы жалоб, с учетом установленных фактических обстоятельств спора,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Исходя из вышеизложенного, оснований для передачи кассационных жалоб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ББР Банк (акционерное общество) и акционерному коммерческому банку «Славия» (акционерное общество) в передаче кассационных жалоб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АКЦИОНЕРНЫЙ КОММЕРЧЕСКИЙ БАНК "СЛАВИЯ" (подробнее) АО "Банк Русский Стандарт" (подробнее) АО ББР Банк (подробнее) Инспекция Федеральной налоговой службы по г. Балашихе Московской области (подробнее) ПАО Московский банк Сбербанк (подробнее) Союз арбитражных управляющих "Саморегулируемая организация "Дело"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