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08.10.2021, оставленным без изменения постановлением Десятого арбитражного апелляционного суда от 14.12.2021 и постановлением Арбитражного суда Московского округа от 21.03.2022, исковые требования удовлетворены. В кассационной жалобе, поданной в Верховный Суд Российской Федерации, товарищество,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(региональный оператор) товариществу услуг по обращению с твердыми коммунальными отходами, отсутствие доказательств их оплаты последним, руководствуясь статьями 309, 310, 330, 779, 781, 783 Гражданского кодекса Российской Федерации, положениями Федерального закона от 24.06.1998 № 89-ФЗ «Об отходах производства и потребления»,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«Новостройка»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