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27.10.2021, оставленным без изменения постановлением Девятого арбитражного апелляционного суда от 23.12.2021 и постановлением Арбитражного суда Московского округа от 04.04.2022,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отказе в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заключение судебной экспертизы, установив, что компания (заказчик) отказалась от спорного договора в связи с ненадлежащим исполнением обществом (подрядчик) обязательств, работы выполнены последним некачественно, их результат не имеет для заказчика потребительской ценности, его использование невозможно, суды первой и апелляционной инстанций пришли к выводу об отсутствии у подрядчика оснований для удержания перечисленного заказчиком аванса и, руководствуясь статьями 309, 310, 450.1, 702, 720, 1102 Гражданского кодекса Российской Федерации, удовлетворили исковые требования. Суд округа поддержал выводы судов первой и апелляционной инстанций. Доводы заявителя, в том числе о пропуске срока исковой давности, недостоверности заключения судебной экспертизы,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«ПУСКОВОЙ ЭЛЕМЕНТ»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