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15.09.2021, оставленным без изменения постановлением Десятого арбитражного апелляционного суда от 25.11.2021 и постановлением Арбитражного суда Московского округа от 14.03.2022, первоначальный иск удовлетворен частично, с общества в пользу компании взыскано 9 136 969 руб. 93 коп. задолженности, в удовлетворении остальной части требований и в удовлетворении встречного иска отказано. 2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Арбитражный суд Московской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общество (генеральный подрядчик) и компания (субподрядчик) заключили договор субподряда от 17.11.2014 № 17/11-2014 (далее – договор). Первоначальный иск мотивирован ненадлежащим исполнением генеральным подрядчиком обязательств по оплате выполненных работ. Встречный иск обоснован неполным освоением субподрядчиком перечисленных денежных средств. Исследовав и оценив по правилам статьи 71 Арбитражного процессуального кодекса Российской Федерации представленные в материалы дела доказательства, в том числе заключение судебной экспертизы, установив факт выполнения субподрядчиком работ на сумму перечисленных генеральным подрядчиком денежных средств, а также дополнительных работ, о необходимости выполнения которых последний был осведомлен, руководствуясь статьями 309, 310, 702, 711, 721, 740, 743, 746, 753 Гражданского кодекса Российской Федерации, суды первой и апелляционной инстанций пришли к выводу о наличии оснований для частичного удовлетворения первоначального иска (с учетом стоимости работ, определенной экспертом) и отказа в удовлетворении встречного иска. Суд округа поддержал выводы судов первой и апелляционной инстанций. Доводы заявителя об отсутствии согласования дополнительных работ, пропуске срока исковой давности были предметом рассмотрения судов и мотивированно отклонены.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3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«Мособлстройкомплекс»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