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Николая Михайловича в Арбитражный суд Костромской области обратился должник с ходатайством об исключении из конкурсной массы денежных средств либо имущества, от реализации которого можно получить 1 372 949 рублей, в том числе для покрытия прожиточного минимума в период процедуры реализации. Определением Арбитражного суда Костромской области от 12.04.2021 ходатайство должника об исключении из конкурсной массы денежных средств возвращено применительно к пункту 4 части 1 статьи 129 Арбитражного процессуального кодекса Российской Федерации. Определением Второго арбитражного апелляционного суда от 04.03.2022 апелляционная жалоба должника на определение суда первой инстанции возвращена на основании пункта 3 части 1 статьи 264 Арбитражного процессуального кодекса Российской Федерации в связи с пропуском срока подачи апелляционной жалобы и отказом в его восстановлении. Арбитражный суд Волго-Вятского округа постановлением от 21.04.2022 определение суда апелляционной инстанции оставил без изменения. 2 Индивидуальный предприниматель Соколов Николай Михайлович обратился в Судебную коллегию Верховного Суда Российской Федерации с кассационной жалобой на судебные акты апелляционной и кассационной инстанций, ссылаясь на существенные нарушения норм права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Установив, что пропуск должником срока на обращение с апелляционной жалобой не связан с отсутствием у него сведений об обжалуемом судебном акте по обстоятельствам, от него не зависящим, должник, являющийся заявителем по обособленному спору, надлежащим образом извещен о времени и месте рассмотрения спора об исключении из конкурсной массы денежных средств, суд апелляционной инстанции пришел к выводу об отсутствии оснований для удовлетворения ходатайства о восстановлении пропущенного срока, учитывая также, что жалоба на определение суда первой инстанции подана за пределами шестимесячного срока на обжалование. Проверив в порядке статей 286, 287 Арбитражного процессуального кодекса Российской Федерации законность судебного акта, правильность применения норм материального и процессуального права при рассмотрении дела, окружной суд пришел к выводу о соответствии выводов, содержащихся в определении суда апелляционной инстанции, установленным фактическим обстоятельствам и имеющимся в деле доказательствам.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