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Ханты-Мансийского автономного округа – Югры от 05.03.2021 иск удовлетворен. Постановлением Восьмого арбитражного апелляционного суда от 22.10.2021 решение суда первой инстанции отменено, в удовлетворении иска отказано. 2 Постановлением Арбитражного суда Западно-Сибирского округа от 23.03.2022 постановление суда апелляционной инстанции отменено, решение суда первой инстанции оставлено в силе. В кассационной жалобе, поданной в Верховный Суд Российской Федерации, общество, ссылаясь на нарушение судами первой и кассационной инстанций норм материального и процессуального права, просит отменить решение от 05.03.2021, постановление от 23.03.2022 и оставить в силе постановление суда апелляционной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исковые требования компании (с учетом изменения наименования, заказчик) мотивированы возникновением на стороне общества (подрядчик) неосновательного обогащения в результате завышения стоимости работ (оборудования) по договору подряда от 14.09.2018 № 18/2302/2018 (далее - договор).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принимая во внимание обстоятельства, установленные вступившими в законную силу судебными актами по делам №№ А75-15596/2019, А75-20302/2019, А40-329707/2019, а также достигнутое сторонами в пункте 6.9 договора в совокупном толковании с иными условиями договора соглашение, предусматривающее обязанность подрядчика при несении им фактически меньших затрат на приобретение оборудования вернуть заказчику его неизрасходованную часть, исходя из недоказанности подрядчиком оснований для удержания спорных денежных средств, руководствуясь статьями 10, 168, 169, 421, 422, 431, 702, 708, 709, 720, 1102 Гражданского кодекса Российской Федерации, суд первой инстанции пришел к выводу обоснованности заявленных требований. Суд округа поддержал выводы суда первой инстанции. 3 Доводы кассационной жалобы не подтверждают существенных нарушений судами первой и кассационной инстанций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«НПО «Промтех-М»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