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19.11.2019, оставленным без изменения постановлением Десятого арбитражного апелляционного суда от 03.06.2020, с управления в пользу общества взыскано 395 743 395 руб. 10 коп. расходов на реализацию инвестиционного контракта; в удовлетворении требований о взыскании 11 849 000 руб. отказано; в удовлетворении требований к учреждению отказано. Арбитражный суд Московского округа постановлением от 11.08.2020 отменил решение суда первой инстанции, постановление суда апелляционной инстанции в части удовлетворения исковых требований и направил дело в указанной части на новое рассмотрение в Арбитражный суд Московской области; в остальной части оставил судебные акты без изменения.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материалов дела и доводов кассационной жалобы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Отменяя судебные акты судов первой и апелляционной инстанций в части удовлетворения исковых требований и направляя дело в отмененной части на новое рассмотрение, суд округа, действуя в пределах полномочий, установленных статьями 286 и 287 Арбитражного процессуального кодекса Российской Федерации, исходил из того, что судами не исследованы все обстоятельства, имеющие существенное значение для правильного разрешения спора, не определены характер спорного правоотношения и подлежащее применению законодательство, а также не дана оценка доводам управления (в том числе со ссылкой на пункт 9.5 контракта (в редакции дополнительного соглашения), в соответствии с которым затраты по работам, которые утратили свою ценность вследствие длительного неосвоения строительной площадки, не подлежат возмещению, учитывая, что контракт заключен в 2006 году, земельный участок предоставлен под строительство на срок до 04.12.2017, протокол предварительного распределения площадей подписан сторонами 27.04.2016, а площадь объекта, превышающая 4000 кв. м, подлежит распределению в собственность общества; а также статьи 2 и 5 контракта, согласно которым общество вправе самостоятельно определять источники финансирования инвестиционного проекта, а управление и учреждение не несут ответственности по договорам, заключенным обществом с третьими лицами). Доводы кассационной жалобы не опровергают выводы суда и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офицеров запаса «Ратник»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"Центр офицеров запаса "Ратник" (подробнее) Ответчики: Управление делами президента Российской Федерации (подробнее) ФГБУ "Управление по эксплуатации зданий высших органов власти"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