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«Берит-АвтоГаз» в передаче кассационной жалобы для рассмотрения в судебном заседании 2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