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09.09.2021, с учетом дополнительного решения от 24.09.2021, оставленными без изменения постановлением Пятого арбитражного апелляционного суда от 26.11.2021 и постановлением Арбитражного суда Арбитражного суда Дальневосточного округа от 10.03.2022, заявленные требования удовлетворены частично, решение антимонопольного органа признано недействительным в части пункта 2. В остальной части в удовлетворении заявления отказано. 2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оспариваемых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Южно-Сахалинска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