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решением суда первой инстанции от 02.09.2021, оставленным без изменения постановлениями Второго арбитражного апелляционного суда от 24.11.2021 и Арбитражного суда Волго-Вятского округа от 16.03.2022, исковые требования удовлетворены.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(арендатор) и обществом (арендодатель) заключен государственный контракт на оказание услуг аренды автоматизированной системы весогабаритного контроля (далее - система). Установив, что часть системы неисправна, арендатор обратился к обществу с требованием об обеспечении ее работоспособности. Неисполнение обязательства, предусмотренного контрактом, по обеспечению работоспособности системы, послужило основанием для обращения учреждения в арбитражный суд. Оценив представленные в материалы дела доказательства, суды, руководствуясь положениями статей 308.3, 309, 310, 421, 431, 606, 616 Гражданского кодекса Российской Федерации, пришли к выводу о наличии оснований для удовлетворения иска. Судебные инстанции исходили из неисполнения арендодателем принятых на себя обязательств по поддержанию работоспособного состояния системы и по содержанию в надлежащем состоянии дорожного покрытия. При исследовании обстоятельств дела установлено, что именно арендодатель должен обеспечивать надлежащее функционирование системы, включая поддержание в надлежащем состоянии дорожного полотна. Довод заявителя о неправомерном отказе судов первой и апелляционной инстанций в удовлетворении ходатайств о назначении судебной экспертизы отклоняется, поскольку достаточность доказательств определяется судами исходя из обстоятельств дела и имеющихся в деле доказательств, мотивы отказа изложены в обжалуемых судебных актах, нарушений норм процессуального права не допущено. Иные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и не подтверждают существенных нарушений судами норм материального и процессуального права, повлиявших на исход дела. 3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«Ростелеком»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