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16.09.2021 заявление удовлетворено. Постановлением Пятого арбитражного апелляционного суда от 18.11.2021, оставленным без изменения постановлением Арбитражного суда Дальневосточного округа от 05.03.2022, решение суда первой инстанции отменено, в удовлетворении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При изучении доводов кассационной жалобы и принятых по делу судебных актов не установлено оснований, по которым кассационная жалоба 2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проводимого учреждением электронного аукциона (извещение № 0320100011220000182) на поставку товара, общество признано победителем. В связи с неисполнением обществом условий контракта учреждением принято решение об одностороннем отказе от его исполнения и направлено заявление в управление о включении сведений об обществе в реестр недобросовестных поставщиков. Решением антимонопольного органа от 05.04.2021 № 25-89/04-2021 сведения об обществе включены в реестр недобросовестных поставщиков. Не согласившись с решением управления, общество обратилось в суд. Удовлетворяя заявленное требование, суд первой инстанции исходил из недоказанности антимонопольным органом причинения ущерба бюджету действиями общества при исполнении контракта, нарушения принципа эффективного использования бюджетных средств, указав на уплату обществом штрафных санкций за нарушение сроков поставки товара. Отменяя решение суда и отказывая в удовлетворении заявления, суд апелляционной инстанции,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Правилами ведения реестра недобросовестных поставщиков (подрядчиков, исполнителей), утвержденными постановлением Правительства Российской Федерации от 25.11.2013 № 1062, пришел к выводу о том, что оспариваемое решение управления соответствует положениям действующего законодательства и не нарушает права и законные интересы заявителя, с чем согласился суд округа. Судебные инстанции исходили из доказанности управлением существенных нарушений обществом условий контракта, отметив, что действиями подрядчика нарушен принцип эффективности осуществления закупок, необходимости достижения заданных результатов обеспечения государственных и муниципальных нужд. Доводы, изложенные в кассационной жалобе, являлись предметом рассмотрения судов апелляционной инстанции и округа, выражают несогласие с установленными фактическими обстоятельствами дела, направлены на их переоценку, в связи с чем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«Мебель-С»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