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его конкурсный управляющий Долубаев Нуржигит Атаевич обратился в суд с заявлением о взыскании с Иванова М.И. убытков в размере 9 485 384 рубля 73 копейки. Определением Арбитражного суда Оренбургской области от 01.11.2021, оставленным без изменения постановлениями Восемнадцатого арбитражного апелляционного суда от 27.12.2021 и Арбитражного суда Уральского округа от 09.03.2022,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Оренбургской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393, 1064 Гражданского кодекса Российской Федерации, установив, что заявителем созданы условия, способствовавшие утрате имущества должника и невозможности пополнения конкурсной массы для расчётов с кредиторами, а также наличие причинно- следственной связи между действиями Иванова М.И. и причинением должнику и его кредиторам убытков, признали доказанным наличие оснований для взыскания убытков с заявителя, верно определив их размер. Выводы судов соответствуют нормам права, оснований для переоценки этих выводов не имеется. Приводимые в кассационной жалобе доводы были предметом подробного рассмотрения судов и обоснованно отклонены.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Михаилу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