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24.06.2022 обратился в Верховный Суд Российской Федерации с жалобой на определение судьи Верховного Суда Российской Федерации от 27.05.2022 № 305-ЭС20-22715, постановление Девятого арбитражного апелляционного суда от 24.08.2021 и постановление Арбитражного суда Московского округа от 25.01.2022 по делу № А40-151590/2019 Арбитражного суда города Москвы,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2 срок, если признает причины пропуска уважительными и если не истекли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117, 2912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акционерного общества «Южуралмост» о восстановлении пропущенного процессуального срока отказать. Жалобу возвратить заявителю.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