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Челябинской области обратилась ФИО2 с заявлением о включении в реестр требований кредиторов должника требования в размере 6 179 000 рублей, как обеспеченного залогом имущества должника. К участию в споре в качестве третьего лица, не заявляющего самостоятельных требований относительно предмета спора, привлечен ФИО3. Определением Арбитражного суда Челябинской области от 25.05.2021 в удовлетворении заявления отказано. Постановлением Восемнадцатого арбитражного апелляционного суда от 11.10.2021 определение суда первой инстанции отменено; требование ФИО2 включено в реестр требований кредиторов должника в размере 6 179 000 рублей в составе третьей очереди, как обеспеченное залогом имущества должника. Арбитражный суд Уральского округа постановлением от 09.03.2022 постановление суда апелляционной инстанции оставил без изменения. ФИО1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инстанции,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309 , 310 , 807 , 809 Гражданского кодекса Российской Федерации, статьями 16 , 71 , 100 , 138 , 213.8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доказанности факта предоставления должнику заемных денежных средств, наличия у кредитора финансовой возможности предоставить заем в оспариваемой сумме, отсутствия доказательств надлежащего исполнения обязательств по возврату займа, в связи с чем признал заявленное требование обоснованным и подлежащим включению в реестр требований кредиторов третьей очереди как обеспеченное залогом.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спора,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Ассоциация "Межрегиональная саморегулируемая организация арбитражных управляющих "Содействие" (подробнее) ИФНС России по Калининскому району г.Челябинска (подробнее) отдел полиции "Калининский" УМВД России по г. Челябинск (подробнее) Правовой центр "Человек и закон" (подробнее) финансовый управляющий Сергеев Михаил Андреевич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