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09.09.2021, оставленным без изменения постановлениями Первого арбитражного апелляционного суда от 16.11.2021 и Арбитражного суда Волго-Вятского округа от 23.03.2022,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оспариваемых судебных актов, поскольку не позволяют сделать вывод о том, что 2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