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по результатам повторного рассмотрения спора решением Арбитражного суда Красноярского края от 27.05.2021, оставленным без изменения постановлением Третьего арбитражного апелляционного суда от 18.11.2021, в удовлетворении иска отказано. Арбитражный суд Восточно-Сибирского округа постановлением от 24.03.2022 названные судебные акты отменил, дело направил на новое рассмотрение в Арбитражный суд Красноярского края. 2 В кассационной жалобе банк ссылается на нарушение судом кассационной инстанции норм права при вынесении обжалуемого постановления об отмене судебных актов и направлении дела на новое рассмотрение в суд первой инстанции. 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оспариваемых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изложенного,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«Банк ДОМ.РФ»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