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«Техформат» обратилось в Арбитражный суд Рязанской области с иском о взыскании с индивидуального предпринимателя Тапилиной Юлии Васильевны неосновательного обогащения в размере 110 000 рублей. Решением Арбитражного суда Рязанской области от 29.07.2021 иск удовлетворен. Постановлением Двадцатого арбитражного апелляционного суда от 26.10.2021 решение суда первой инстанции оставлено без изменения. Арбитражный суд Центрального округа постановлением от 01.03.2022 указанные судебные акты оставил без изменения. Индивидуальный предприниматель Тапилина Юлия Васильевна обратилась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договор на оказание консультационных услуг расторгнут в одностороннем порядке истцом, сторонами не согласована стоимость каждого процессуального действия исполнителя, стоимость юридических услуг, оказанных ответчиком, не превышает 40 000 рублей, что учтено истцом при расчете неосновательного обогащения, руководствуясь положениями статей 424, 779, 781, 1102, 1109 Гражданского кодекса Российской Федерации, суды пришли к выводу об обязании ответчика возвратить истцу неосновательно сбереженные денежные средства в заявленном размере. Доводы, изложенные в кассационной жалобе, приводились при рассмотрении дела,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Тапилиной Юлии Васильевне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