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«Домоуправляющая компания Нижегородского района» обратилось в Арбитражный суд Нижегородской области с иском о взыскании с индивидуального предпринимателя Карабельника Михаила Ароновича 572 712 рублей 38 копеек задолженности за содержание и ремонт общего имущества многоквартирного дома. Решением Арбитражного суда Нижегородской области от 09.03.2021 в удовлетворении иска отказано. ИП Карабельник М.А. обратился в Арбитражный суд Нижегородской области с заявлением, уточненным в порядке статьи 49 Арбитражного процессуального кодекса Российской Федерации, о взыскании с АО «Домоуправляющая компания Нижегородского района» 175 239 рублей 16 копеек судебных расходов на оплату услуг представителя. Определением Арбитражного суда Нижегородской области от 27.09.2021 заявление удовлетворено в части взыскания 160 239 рублей 16 копеек судебных расходов, в удовлетворении заявления в остальной части отказано. 2 Постановлением Первого арбитражного апелляционного суда от 20.12.2021 определение суда первой инстанции оставлено без изменения; производство по заявлению предпринимателя о взыскании 18 694 рублей судебных расходов на оплату услуг представителя при рассмотрении апелляционной жалобы на определение от 29.07.2021 прекращено. Арбитражный суд Волго-Вятского округа постановлением от 01.04.2022 постановление суда апелляционной инстанции оставил без изменения. Индивидуальный предприниматель Карабельник Михаил Аронович обратился в Судебную коллегию Верховного Суда Российской Федерации с кассационной жалобой на постановления суда апелляционной инстанции и суда округа в части прекращения производства по заявлению о взыскании судебных расходов на оплату услуг представителя при рассмотрении апелляционной жалобы,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вопрос о взыскании судебных расходов, суд апелляционной инстанции руководствовался положениями статей 112, 150 Арбитражного процессуального кодекса Российской Федерации, пунктом 28 постановления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правовой позицией Конституционного Суда Российской Федерации, изложенной в определениях от 21.03.2013 № 461-О, от 20.03.2014 № 664-О, и исходил из того, что заявление о возмещении судебных издержек, понесенных в связи с рассмотрением заявления по вопросу о судебных издержках, поданное после вынесения определения по вопросу о судебных издержках, не подлежит принятию к производству и рассмотрению судом. Суд округа согласил с выводом суда апелляционной инстанции. 3 Доводы, изложенные в кассационной жалобе, основаны на неверном толковании норм права и не являются основанием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Карабельнику Михаилу Ароновичу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