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24.09.2020 в удовлетворении искового требования отказано. Министерство, определяя себя в качестве лица, права и законные интересы в предпринимательской и иной экономической деятельности которого нарушены вышеуказанным судебным актом, обратилось в Девятый арбитражный апелляционный суд с апелляционной жалобой. Определением Девятого арбитражного апелляционного суда от 24.12.2021 производство по апелляционной жалобе прекращено на основании 2 статьи 150 Арбитражного процессуального кодекса Российской Федерации в связи с тем, что обжалуемое решение принято не о правах и обязанностях министерства и не затрагивает имущественные интересы данного лица. Постановлением Арбитражного суда Московского округа от 25.03.2022 определение суда апелляционной инстанции оставлено без изменения. В кассационной жалобе, поданной в Верховный Суд Российской Федерации, министерство, ссылаясь на существенное нарушение норм права, просит отменить вышеуказанные судебные акты и направить дело на новое рассмотрение в суд первой инстанции. Жалоба на решение Арбитражного суда города Москвы от 24.09.2020 не может быть рассмотрена в связи с пропуском заявителем предельно допустимого срока на кассационное обжалование. Данный срок является пресекательным и восстановлению не подлежит. В остальной части жалоба подлежит рассмотрению в порядке, предусмотренном статьями 2911 - 29115 Арбитражного процессуального кодекса Российской Федерации.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Прекращая производство по жалобе, суд апелляционный инстанции, руководствуясь положениями статей 42, 150 Арбитражного процессуального кодекса Российской Федерации, с учетом разъяснений, изложенных в постановлении Пленума Высшего Арбитражного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исходил из того, что решение Арбитражного суда города Москвы от 24.09.2020 не принято о правах и обязанностях заявителя или о возложении на министерство какой-либо обязанности, а также судебным 3 актом не создаются препятствия для реализации субъективного права или надлежащего исполнения министерством обязанности по отношению к одной из сторон спора. Суд округа согласился с выводами суда апелляционной инстанции. Доводы, изложенные заявителем в кассационной жалобе, были предметом рассмотрения судов и мотивированно отклонены, не опровергают их выводы, не подтверждают существенных нарушений норм материального или процессуального права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