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31.08.2021, оставленным без изменения постановлениями Десятого арбитражного апелляционного суда от 10.11.2021 и Арбитражного суда Московского округа от 02.03.2022, в удовлетворении заявления отказано. В кассационной жалобе предприниматель ставит вопрос об отмене принятых по делу судебных актов, ссылаясь на нарушение судами норм права.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2 Как усматривается из судебных актов,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 По результатам рассмотрения заявления министерством принято оспариваемое решение об отказе в выдаче испрашиваемого разрешения, ввиду несоответствия документов по форме или содержанию требованиям законодательства Российской Федерации. Исследовав и оценив представленные в материалы дела доказательства, суды первой и апелляционной инстанций, руководствуясь положениями статьи 9 Федерального закона от 21.04.2011 № 69-ФЗ «О внесении изменений в отдельные законодательные акты Российской Федерации», Закона Московской области от 27.12.2005 № 268/2005-ОЗ «Об организации транспортного обслуживания населения на территории Московской области», Административным регламентом предоставления государственной услуги «Выдача разрешения, переоформление разрешения на осуществление деятельности по перевозке пассажиров и багажа легковым такси на территории Московской области», утвержденным распоряжением министерства от 24.05.2019 № 317-Р (далее - Административный регламент), пришли к выводу о том, что в рассматриваемом случае у министерства отсутствовали основания для выдачи предпринимателю разрешения на осуществление деятельности по перевозке пассажиров на испрашиваемое транспортное средство, с чем согласился суд округа. Судебные инстанции исходили из некорректности действий самого заявителя по подаче одновременно большого количества идентичных заявлений. При исследовании обстоятельств дела установлено, что предпринимателем было подано несколько идентичных заявлений в отношении одного и того же транспортного средства, в связи с чем предприниматель, исходя из положений Административного регламента вправе был рассчитывать на рассмотрение по существу лишь одного из поданных заявлений, по результатам рассмотрения которого министерством принято решение, оспоренное предпринимателем в рамках дела № А41-56047/2021. Ссылка предпринимателя на судебные акты по иным делам подлежит отклонению, поскольку они приняты по обстоятельствам, не являющимся тождественными настоящему делу. Доводы, изложенные в кассационной жалобе, являлись предметом рассмотрения судов, получили надлежащую правовую оценку и с учетом установленных обстоятельств не свидетельствуют о наличии существенных нарушений норм материального и процессуального права, повлиявших на исход дела.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в полномочия Судебной коллегии Верховного Суда Российской Федерации не входит.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