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20.09.2021, оставленным без изменения постановлением Шестого арбитражного апелляционного суда от 15.12.2021 и постановлением Арбитражного суда Дальневосточного округа от 12.04.2022,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компанией товара на спорную сумму, его принятия обществом, руководствуясь статьями 182, 1102, 1103, 1107 Гражданского кодекса Российской Федерации, суды первой и апелляционной инстанций пришли к выводу об отсутствии на стороне ответчика неосновательного обогащения 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«Стройсервис»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