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01.09.2021, оставленным без изменения постановлением Девятого арбитражного апелляционного суда от 12.11.2021 и постановлением Арбитражного суда Московского округа от 17.03.2022,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выводов судов представленным в материалы дела доказательствам,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702, 711, 720, 740, 753 Гражданского кодекса Российской Федерации, суды первой и апелляционной инстанций пришли к выводу об отсутствии оснований для удовлетворения иска, исходя из недоказанности факта выполнения обществом спорных работ и передачи их результата компании в установленном договором порядке.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«Джет Констракшен»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