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24.06.2022 повторно обратились в Верховный Суд Российской Федерации с кассационной жалобой, одновременно заявив ходатайство о восстановлении пропущенного срока ее подачи. Согласно части 2 статьи 2912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2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Принимая во внимание положения части 3 статьи 2915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первоначальной жалобы (18.06.2022), а также оперативное устранение заявителем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185,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«Мегаторг» и общества с ограниченной ответственностью «Газкомплект 61» о восстановлении пропущенного срока подачи кассационной жалобы удовлетворить, срок подачи кассационной жалобы восстановить.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