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«Славянский Дом» (далее – Общество) обратилось в Арбитражный суд города Москвы с иском к Некоммерческой корпоративной организации «Потребительское общество взаимного страхования гражданской ответственности застройщиков» (далее – Компания) об обязании Компании передать Обществу имущество, в том числе денежные средства, оставшееся после расчетов с кредиторами, в сумме 8 830 022 рубля. Решением Арбитражного суда города Москвы от 16.07.2021, оставленным без изменения постановлением Девятого арбитражного апелляционного суда от 04.10.2021 и постановлением Арбитражного суда Московского округа от 05.03.2022,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суды не применили подлежащие применению статьи 307.1, 314 Гражданского кодекса 2 Российской Федерации (далее – Гражданский кодекс). С учетом положений названных норм права его требование о передаче оставшегося имущества подлежало исполнению в течение 7 (семи) дней с даты получения названного требования ответчиком, то есть не позднее 18.03.2021. Суды необоснованно не усмотрели в действиях ответчика злоупотребления правом.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01.02.2021 внеочередным общим собранием принято решение о распределении между всеми членами Компании денежных средств, оставшихся после удовлетворения требований кредиторов, пропорционально внесенным вступительным и страховым взносам. Постановлением Девятого арбитражного апелляционного суда от 11.03.2021 по делу № А40-175133/2020 Общество восстановлено в правах членов Компании с 30.09.2015. Во исполнение требования от 17.02.2021 истец предоставил ответчику письмом от 05.03.2021 № 134 актуальные реквизиты для перечисления денежных средств, которое получено Компанией 11.03.2021. Поскольку в предусмотренный пунктом 2 статьи 314 Гражданского кодекса срок ответчик не исполнил требование истца о перечислении денежных средств по указанным им реквизитам,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63 Гражданского кодекса,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установив, что обязанность Компании по выплате Обществу, как одному из членов НКО, денежных средств, оставшихся после расчетов ответчика с кредиторами, должна быть выполнена до завершения процедуры ликвидации, названная процедура на момент вынесения решения не завершена, сроки исполнения соответствующей обязанности ни в решении внеочередного общего собрания членов ответчика от 01.02.2021, ни в иных решениях и прочих документах, не указаны. 3 Отклоняя ссылку Общества на злоупотребление ответчиком правом, суды исходили из отсутствия доказательств наличия у ответчика умысла на заведомо недобросовестное осуществление прав, наличие цели причинения вреда истцу.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«Славянский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