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22.09.2021, оставленным без изменения постановлением Девятнадцатого арбитражного апелляционного суда от 19.01.2022 и постановлением Арбитражного суда Центрального округа от 19.04.2022,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принимая во внимание обстоятельства, установленные вступившим в законную силу судебным актом по делу № А36-11621/2019, руководствуясь статьями 8, 307, 309, 310, 1102 Гражданского кодекса Российской Федерации, пришли к выводу о наличии на стороне ответчика неосновательного обогащения в заявленном размере и обязанности по его возврату истцу.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Заявленное обществом ходатайство о приостановлении исполнения обжалуемых судебных актов рассмотрению не подлежит, поскольку в передаче его кассационной жалобы для рассмотрения в судебном заседании Судебной коллегии Верховного Суда Российской Федерации отказано.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«Бриз»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