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Чувашской Республики - Чувашии от 28.07.2021, оставленным без изменения постановлением Первого арбитражного апелляционного суда от 29.10.2021 и постановлением Арбитражного суда 2 Волго-Вятского округа от 05.03.2022, исковое заявление удовлетворено частично, с учреждения в польз общества взыскано 587 207 рублей 89 копеек долга, 31 298 рублей 13 копеек пеней, начисленных с 25.11.2020 по 28.07.2021 и далее за период по день фактической оплаты долга. В удовлетворении остальной части иска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(заказчик) и обществом (подрядчик) заключен контракт от 25.05.2020 № 018 на выполнение работ по благоустройству. В ходе исполнения контракта обществом установлены накопительные емкости, а также в связи с невозможностью выполнения работ в отсутствии природного и плодородного грунта в указанных объемах у заказчика, подрядчик использовал для завершения работ закупленный грунт у сторонней организации. Стоимость недостающего грунта, накопительных емкостей и затрат на их установку заказчиком не возмещена, что послужило основанием для обращения общества в арбитражный суд с рассматриваемыми требованиями. Рассматривая спор, суды,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наличии оснований для взыскания с ответчика 587 207 рублей 89 копеек задолженности, соответствующих пени, а также пени, начисленных по дату фактической оплаты долга. Отказывая в остальной части исковых требований, судебные инстанции исходили из отсутствия доказательств согласования сторонами приобретения спорного грунта, безотлагательного характера работ либо их выполнения в целях предотвращения ущерба. По эпизоду, связанному с возмещением затрат на приобретение накопительных емкостей и их установку суды установили, что закупленные истцом емкости существенно превышают стоимость товара, указанную в проектной документации, в связи с чем с учетом баланса интересов сторон, отсутствия доказательств некачественности товара, использования его заказчиком в соответствии с целями контракта, взыскали с учреждения стоимость товара на основании данных коммерческого предложения, указанного ООО ПТК «Фаворит» в конкурсной документации. Суды исходили из оценки совокупности представленных доказательств и установленных фактических обстоятельств. 3 Доводы, изложенные в кассационной жалобе, являлись предметом рассмотрения судов,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и оценкой представленных в материалы дела доказательств, что не может служить основанием для передачи кассационной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«Альянс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