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14.09.2021, оставленным без изменения постановлениями Десятого арбитражного апелляционного суда от 22.11.2021 и Арбитражного суда Московского округа от 02.03.2022, в удовлетворении заявления отказано. В кассационной жалобе предприниматель ставит вопрос об отмене принятых по делу судебных актов, ссылаясь на нарушение судами норм права. 2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министерство с заявлением о выдаче разрешения на осуществление деятельности по перевозке пассажиров и багажа легковым такси на территории Московской области. По результатам рассмотрения заявления министерством принято оспариваемое решение об отказе в выдаче испрашиваемого разрешения, ввиду несоответствия документов по форме или содержанию требованиям законодательства Российской Федерации. Исследовав и оценив представленные в материалы дела доказательства, суды первой и апелляционной инстанций,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Закона Московской области от 27.12.2005 № 268/2005-ОЗ «Об организации транспортного обслуживания населения на территории Московской области», Административным регламентом предоставления государственной услуги «Выдача разрешения, переоформление разрешения на осуществление деятельности по перевозке пассажиров и багажа легковым такси на территории Московской области», утвержденным распоряжением министерства от 24.05.2019 № 317-Р, пришли к выводу об отсутствии оснований для удовлетворения заявления предпринимателя, с чем согласился суд округа. Судебные инстанции исходили из того, что в рассматриваемом случае у министерства отсутствовали основания для выдачи предпринимателю разрешения на осуществление деятельности по перевозке пассажиров на испрашиваемое транспортное средство, в связи с чем признали решение министерства соответствующим требованиям действующего законодательства. При исследовании обстоятельств дела установлено, что предпринимателем при подаче заявления предоставлены недостоверные сведения в отношении спорного транспортного средства. Ссылка предпринимателя на судебные акты по иным делам подлежит отклонению, поскольку они приняты по обстоятельствам, не являющимся тождественными настоящему делу. Доводы, изложенные в кассационной жалобе, являлись предметом рассмотрения судов, получили надлежащую правовую оценку и с учетом установленных обстоятельств не свидетельствуют о наличии существенных 3 нарушений норм материального и процессуального права, повлиявших на исход дела. Переоценка доказательств и установленных судами фактических обстоятельств спора в силу статьи 291.6 Арбитражного процессуального кодекса Российской Федерации в полномочия Судебной коллегии Верховного Суда Российской Федерации не входит.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