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Челябинской области от 10.09.2021 заявление удовлетворено. Постановлением Восемнадцатого арбитражного апелляционного суда от 17.11.2021, оставленным без изменения постановлением Арбитражного суда Уральского округа от 28.02.2022, определение от 10.09.2021 отменено, в удовлетворении заявления отказано. В кассационной жалобе банк просит об отмене судебных актов апелляционного и окружного судов, ссылаясь на отсутствие основания для отмены определения суда первой инстанции.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попадание спорного имущества под исполнительский иммунитет, поэтому отменил определение суда первой инстанции и разрешил заявление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«Челиндбанк»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