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07.05.2021, оставленным без изменения постановлением Первого арбитражного апелляционного суда от 23.11.2021 и постановлением Арбитражного суда Волго-Вятского округа от 28.02.2022, в удовлетворении заявления отказано. В кассационной жалобе Демьяненко А.В. просит об отмене судебных актов, ссылаясь на неправильную оценку обстоятельств заключения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отчуждение доли должника в уставном капитале общества «АгроБор» осуществлено за равноценное встречное предоставление, не повлекшее вреда кредиторам и не влекущее недействительности сделки в силу пункта 2 статьи 61.2 Федерального закона «О несостоятельности (банкротстве)». Иная оценка обстоятельств совершения сделки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Демьяненко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