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«Ф-Групп» (далее – общество) обратилось в Арбитражный суд города Москвы с иском, уточненным в порядке статьи 49 Арбитражного процессуального кодекса Российской Федерации, к акционерному обществу «Профессиональный футбольный клуб ЦСКА» (далее – клуб) о взыскании 491 471 254 руб.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привлечено закрытое акционерное общество «Генеральная дирекция «Центр». Решением Арбитражного суда города Москвы от 26.02.2021 в удовлетворении иска отказано. Девятый арбитражный апелляционный суд определением от 15.06.2021 произвел замену общества на правопреемника – общество с ограниченной ответственностью «Бета» (далее – компания). Постановлением Девятого арбитражного апелляционного суда от 02.12.2021 решение суда первой инстанции изменено, с клуба в пользу компании взыскано 348 453 455 руб. 83 коп. задолженности, в удовлетворении остальной части иска отказано. 2 Постановлением Арбитражного суда Московского округа от 04.04.2022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компания, ссылаясь на нарушение судом округа норм материального и процессуального права, просит отменить постановление от 04.04.2022 и оставить в силе постановление суда апелляционной инстанции от 02.12.2021.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Отказывая в удовлетворении иска, суд первой инстанции, исследовав и оценив представленные в материалы дела доказательства по правилам статьи 71 Арбитражного процессуального кодекса Российской Федерации, принимая во внимание обстоятельства, установленные вступившими в законную силу судебными актами по делам № А40-107719/2018, № А40-213453/2018, руководствуясь статьями 330, 1102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 из того, что у клуба (застройщик) отсутствует обязанность по возврату обществу (генеральный подрядчик) гарантийного удержания в заявленном размере, поскольку застройщик в соответствии с условиями договора произвел удержание из суммы оплаты по договору неустойки, начисленной за нарушение генеральным подрядчиком сроков выполнения работ; размер удержанной застройщиком неустойки значительно меньше суммы неустойки, начисленной согласно пункту 20.6 договора (в редакции дополнительного соглашения); доказательств явной несоразмерности неустойки последствиям нарушения обязательства, обосновывающих необходимость применения статьи 333 Гражданского кодекса Российской Федерации, обществом не представлено. Суд округа поддержал выводы суда первой инстанции. Вопреки доводам заявителя суд округа не вышел за пределы своих полномочий, установленных в статьях 286 - 288 Арбитражного процессуального кодекса Российской Федерации. Доводы кассационной жалобы не подтверждают существенных нарушений судами первой инстанции и округа норм права, повлиявших на исход дела, 3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«Бета»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