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«Воронежская строительная компания – Сервис» (далее – Компания) обратилось в Арбитражный суд Воронежской области с иском к администрации Грибановского городского поселения Грибановского муниципального района Воронежской области (далее – Администрация) о признании недействительным решения об отказе Компании в допуске к участию в конкурсе по отбору управляющей организации и признанию конкурса несостоявшимся, оформленного протоколом рассмотрения заявок на участие в открытом конкурсе по выбору управляющей организации для управления многоквартирными жилыми домами на территории Воронеж-45 (извещение № 010621/5602850/02 от 02.07.2021»; обязании устранить допущенные нарушения прав и законных интересов Компании.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«Домрус» (далее – Общество), Управление Федеральной антимонопольной службы по Воронежской области (далее – Управление), Министерство обороны Российской Федерации. 2 Определением Арбитражного суда Воронежской области от 09.08.2021, оставленным без изменения постановлением Девятнадцатого арбитражного апелляционного суда от 22.10.2021 и постановлением Арбитражного суда Центрального округа от 24.02.2022, удовлетворено заявление истца о принятии обеспечительных мер в виде запрета Администрации проводить конкурс по отбору управляющей организации для управления многоквартирными домами № 3-15 по ул. Плехановской на территории города Воронеж-45 по извещению № 010621/5602850/02. В кассационной жалобе, поданной в Верховный Суд Российской Федерации, заявитель просит отменить состоявшиеся по делу судебные акты о принятии обеспечительных мер, ссылаясь на существенное нарушение судами норм материального и процессуального права. В обоснование доводов жалобы заявитель указывает, что Управление признало жалобу Компании необоснованной; действия истца создают предпосылки для невозможности обслуживания многоквартирных домов; судами не указано на какой срок были приняты оспариваемые обеспечительные меры.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непринятие обеспечительных мер может повлечь причинение значительного ущерба истцу, а также затруднить исполнение в будущем судебного акта в случае удовлетворения заявленных требований. Судебные инстанции обоснованно указали, что принятые обеспечительные меры, которые носят срочный и временный характер, действуют с целью сохранения существующего положения в отношении лица, являющегося единоличным исполнительным органом Общества, до разрешения спора по существу, что является необходимым, учитывая наличие корпоративного конфликта.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отказать в передаче кассационной жалобы общества с ограниченной ответственностью «Домрус»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