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27.08.2021, оставленным без изменения постановлением Девятого арбитражного апелляционного суда от 02.11.2021 и постановлением Арбитражного суда Московского округа от 24.02.2022, в удовлетворении заявления отказано. В кассационной жалобе Седова М.П. просит об отмене судебных актов, ссылаясь на игнорирование судами надлежащих доказательств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неподтвержденной финансовую состоятельность заявительницы и ее заимодавца для предоставления спорной суммы взаем должнику, что согласно правилам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влечет невозможность включения её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Седовой М.П.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