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«Центр-Инвест» (далее - компания) обратилось в Арбитражный суд города Москвы с иском, уточненным в порядке статьи 49 Арбитражного процессуального кодекса Российской Федерации, к обществу с ограниченной ответственностью «СпецТех» (далее - общество) о взыскании 1 138 404 руб. 27 коп. задолженности по арендной плате по договору аренды от 16.07.2018 № 16/И-АЛТ-18 и 8 464 853 руб. 93 коп. штрафа за просрочку обязательства по внесению арендной платы. Общество предъявило встречный иск о признании договора аренды от 16.07.2018 № 16/И-АЛТ-18 недействительным и взыскании с компании перечисленной арендной платы в сумме 1 942 790 руб. 53 коп. (с учетом уточнения исковых требований в порядке статьи 49 Арбитражного процессуального кодекса Российской Федерации). Решением Арбитражного суда города Москвы от 11.03.2021, оставленным без изменения постановлением Девятого арбитражного апелляционного суда от 31.05.2021 и постановлением Арбитражного суда Московского округа от 13.09.2021, первоначальные исковые требования удовлетворены частично, с общества в пользу компании взыскано 678 211 руб. 81 коп. задолженности, 2 1 000 000 руб. неустойки, в удовлетворении остальной части первоначальных требований и в удовлетворении встречного иска отказано. Общество обратилось в Арбитражный суд города Москвы с заявлением о пересмотре решения суда первой инстанции от 11.03.2021 по вновь открывшимся обстоятельствам. Определением Арбитражного суда города Москвы от 29.11.2021, оставленным без изменения постановлением Девятого арбитражного апелляционного суда от 14.03.2022 и постановлением Арбитражного суда Московского округа от 06.05.2022, в удовлетворении заявления общества отказано. В кассационной жалобе, поданной в Верховный Суд Российской Федерации, общество просит отменить указанные судебные акты как принятые с нарушением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доводов кассационной жалобы и обжалуемых судебных актов не установлено. Отказывая в удовлетворении заявления общества, суд первой инстанции руководствовался положениями статьи 311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 из того, что приведенные заявителем обстоятельства не являются вновь открывшимися по смыслу статьи 311 Арбитражного процессуального кодекса Российской Федерации и не могут служить основанием для пересмотра принятого по существу спора судебного акта. Суды апелляционной инстанции и округа поддержали выводы суда первой инстанции. Доводы кассационной жалобы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«СпецТех»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