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30.03.2021, заявление удовлетворено. Одиннадцатый арбитражный апелляционный суд перешел к рассмотрению заявления по правилам для суда первой инстанции и постановлением от 29.10.2021 отменил определение от 30.03.2021 и удовлетворил заявление. Арбитражный суд Поволжского округа постановлением от 02.03.2022 постановление апелляционного суда от 29.10.2021 оставил без изменения. В кассационной жалобе Николаева Л.П. просит об отмене судебных актов апелляционного и окружного судов, ссылаясь на пропуск срока исковой давности и неисполнимость требования о возврате доли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безвозмездную сделку, совершенную должником в пользу матери в ситуации наличия неоплаченного присужденного долга, не соответствующей пункту 2 статьи 61.2 Федерального закона от 26.10.2002 № 127-ФЗ «О несостоятельности (банкротстве)». Срок исковой давности на оспаривание сделки для финансового управляющего исчислен в соответствии со статьей 213.32 названного Закона. Залог спорной доли при возврате ее в конкурсную массу сохраняется, на что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Николаевой Л.П.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