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Семочкин В.Е. обратился в суд с заявлением об установлении размера вознаграждения в размере 2 649 127 рублей 74 копейки, из них 723 516 рублей 11 копеек фиксированного вознаграждения, 160 465 рублей 63 копейки фактических расходов на опубликование сведений, почтовых расходов и выдачу доверенностей; 282 646 рублей расходов на дополнительное страхование; 52 500 рублей расходов на аренду помещения; 520 000 рублей расходов на привлеченных специалистов; 910 000 рублей расходов по охране имущества. Определение Арбитражного суда Краснодарского края от 17.08.2021 заявление удовлетворено частично. С должника в пользу арбитражного управляющего Семочкина В.Е. взысканы вознаграждение внешнего управляющего в сумме 404 999 рублей 99 копеек, вознаграждение конкурсного управляющего в сумме 106 172 рубля 04 копейки, расходы на публикации в ЕФРСБ в сумме 34 081 рубля 62 копейки, почтовые расходы в сумме 116 984 рубля 01 копейки, расходы по аренде помещений в сумме 52 500 рублей, расходы на охрану имущества в сумме 910 000 рублей, расходы по нотариальному удостоверению в сумме 9 400 рублей, расходы на специалистов в сумме 200 000 рублей. В удовлетворении остальной части заявленных требований отказано. 2 Постановлением Пятнадцатого арбитражного апелляционного суда от 13.12.2021, оставленным без изменения постановление Арбитражного суда Северо-Кавказского округа от 03.03.2022, данное определение изменено. С должника в пользу арбитражного управляющего Семочкина В.Е. взыскано вознаграждение внешнего управляющего в сумме 90 000 рублей, вознаграждение конкурсного управляющего в сумме 106 172 рубля 04 копейки, расходы на публикации в ЕФРСБ в сумме 34 081 рубля 62 копейки, почтовые расходы в сумме 116 984 рубля 01 копейки, расходы по нотариальному удостоверению в сумме 9 400 рублей, расходы по аренде помещений в сумме 52 500 рублей, расходы на охрану имущества в сумме 390 000 рублей, расходы на специалистов в сумме 200 000 рублей.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в части уменьшения вознаграждения внешнего и конкурсного управляющего, отказа в возмещении расходов на дополнительное страхование ответственности арбитражного управляющего, уменьшения расходов на привлечённых специалистов и охрану имущества должника, принять по делу новый судебный акт об удовлетворении заявленных требований в полном объёме.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20.3, 20.6, 20.7, 24.1, 59 Федерального закона от 26.10.2002 № 127-ФЗ «О несостоятельности (банкротстве)», исходили из установленных по делу фактических обстоятельств ненадлежащего исполнения заявителем своих обязанностей внешнего и конкурсного управляющего должником, отстранения последнего от исполнения возложенных на него обязанностей, необоснованного завышения расходов на привлечённых специалистов и охрану имущества должника, а также недопустимости отнесения расходов, связанных со страхованием собственных рисков заявителя при осуществлении им деятельности на возмездной основе, на конкурсную массу.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3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Семочкину Вадиму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