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Кондаурова Наталия Александровна обратилась в Арбитражный суд Ставропольского края с иском к обществу с ограниченной ответственностью «Драйв» (далее – Общество) о взыскании 2 367 500 рублей действительной стоимости доли в уставном капитале Общества. Решением Арбитражного суда Ставропольского края от 19.08.2021, оставленным без изменения постановлением Шестнадцатого арбитражного апелляционного суда от 18.11.2021 и постановлением Арбитражного суда Северо- Кавказского округа от 03.03.2022, требования удовлетворены; распределены судебные расходы; в удовлетворении ходатайства о назначении повторной экспертизы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злоупотребление истцом своими правами. 2 По мнению Общества, судами не учтено, что заявление истца о выходе из состава участников юридического лица ответчик не получал; рыночная стоимость имущества хозяйствующего субъекта определена неверно.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Кондаурова Н.А. и Щепилов А.М., ранее состоявшие в браке, которым принадлежат по 50% доли уставного капитала юридического лица. Истец 14.06.2018 направил в адрес Общества нотариально заверенное заявление о выходе из состава участников с выплатой доли, что подтверждается заказным письмом с уведомлением о вручении и описью вложения. Заказное письмо прибыло в место вручения 19.06.2018 и вернулось отправителю за истечением срока хранения. Также истец представил сведения о направлении заявления о выходе из состава участников Общества по другим известным ему адресам юридического лица, а также его директора. Кандаурова Н.А. 23.12.2019 направила в адрес Общества претензию об исполнении обязанности по выплате действительной стоимости доли, оставление которой без удовлетворения, послужило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составленное по результатам проведенной судебной экспертизы, руководствуясь статьей 94 Гражданского кодекса Российской Федерации, статьями 23, 26 Федерального закона от 08.02.1998 № 14-ФЗ «Об обществах с ограниченной ответственностью», приняв во внимание разъяснения,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суды удовлетворили требования, констатировав, что у Общества в связи с выходом Кандауровой Н.А. из состава его участников возникла обязанность по выплате действительной стоимости доли, размер которой определен на основании заключения эксперта, признанного надлежащим доказательством по делу. Доводы кассационной жалобы, которые были предметом рассмотрения 3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«Драйв»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