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11.10.2021, оставленным без изменения постановлением Девятого арбитражного апелляционного суда от 23.12.2021 и постановлением Арбитражного суда Московского округа от 22.03.2022, в удовлетворении заявления отказано. В кассационной жалобе Маглели А.А. и общество «СЕНЕЖ-Дистрибуция» просят об отмене судебных актов, ссылаясь на недопустимое погашение спорного долга в внепроцессуальном и внеочередном порядке.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кредитора спорного требования в связи с погашением долга. Иная оценка требования влечет неосновательное обогащение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Маглели А.А. и обществу с ограниченной ответственностью «СЕНЕЖ-Дистрибуция»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