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Бурнашевская Екатерина Андреевна обратилась в суд с заявлением о пересмотре по вновь открывшимся обстоятельствам определений Арбитражного суда Республики Татарстан от 24.05.2017 о включении в реестр требований кредиторов должника требований конкурсного кредитора. Определением Арбитражного суда Республики Татарстан от 29.09.2021 производство по заявлению прекращено. Постановлением Одиннадцатого арбитражного апелляционного суда от 17.12.2021, оставленным без изменения постановлением Арбитражного суда Поволжского округа от 05.03.2022, названное определение отменено, вопрос пересмотра определений суда первой инстанции от 24.05.2017 направлен в суд первой инстанции для рассмотрения по существу.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суды апелляционной инстанции и округа, руководствуясь статьями 311, 312, 315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заявление конкурсного управляющего должником подлежит рассмотрению по существу в рамках настоящего дела.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«Монгол»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