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10.09.2021, оставленным без изменения постановлением Девятого арбитражного апелляционного суда от 30.11.2021 и постановлением Арбитражного суда Московского округа от 24.02.2022, заявление удовлетворено. В кассационной жалобе Ананьев Д.Н. просит об отмене судебных актов, ссылаясь на неправомерное отождествление его платежеспособности с финансовым состоянием подконтрольного ему банка.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убытки в связи с неблагоприятным финансовым состоянием подконтрольного банка предъявлены должнику, поэтому совершение в преддверии их предъявления оспариваемой безвозмездной сделки в пользу заинтересованного лица (супруги) составляет у в силу пункта 2 статьи 61.2 Федерального закона от 26.10.2002 № 127-ФЗ «О несостоятельности (банкротстве)» условия для недействительности сделки.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Ананьеву Дмитрию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