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26.08.2021, оставленным без изменения постановлением Девятого арбитражного апелляционного суда от 30.11.2021 и постановлением Арбитражного суда Московского округа от 28.02.2022, в удовлетворении заявления отказано. В кассационной жалобе Суворов С.А. просит об отмене судебных актов, ссылаясь на игнорирование представленных доказательств неразумности и недобросовестности действий управляющего при выявлении и обеспечении сохранности имущества должника.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отсутствие нарушений, которые могли бы повлечь констатацию незаконности действий (бездействия) финансового управляющего при выявлении и реализации принадлежащих должнику долей в имуществе юридических лиц, поэтому отклонили жалобу в силу статей 20.3, 20.4, 60, 213.9 Федерального закона от 26.10.2002 № 127-ФЗ «О несостоятельности (банкротстве)» и их судебного толкования, статьи 69 Арбитражного процессуального кодекса Российской Федерации. Иная оценка действий финансового управляющего должника не создает оснований для кассационного пересмотра судебных актов. Руководствуясь статьями 291.6, 291.8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Суворову 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