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27.07.2021, оставленным без изменения постановлением Тринадцатого арбитражного апелляционного суда от 08.12.2021 и постановлением Арбитражного суда Северо-Западного округа от 10.03.2022, заявленные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2 и направить дело на новое рассмотрение в соответствующий арбитражный суд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подряда от 17.07.2020 № 15/07, установив факт перечисления компанией (заказчик) в пользу общества (подрядчик) аванса по названному договору, направление последнему уведомления о его расторжении, отсутствие доказательств выполнения подрядчиком работ на спорную сумму, передачи их результата заказчику либо возврата ему денежных средств, руководствуясь статьями 329, 330, 450.1, 702, 708, 715, 717, 1102 Гражданского кодекса Российской Федерации, суды первой и апелляционной инстанций пришли к выводу о наличии оснований для взыскания с общества неосновательного обогащения и неустойки. Разрешая вопрос о взыскании с общества судебных расходов на оплату услуг представителя, суды руководствовались статьями 101,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исходили из подтвержденности факта несения компанией соответствующих расходов в заявленном размере и отсутствия доказательств их чрезмерности.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«Архитектурно-строительная мастерская Титова»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